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7296"/>
      </w:tblGrid>
      <w:tr w14:paraId="6704D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3" w:type="dxa"/>
            <w:noWrap w:val="0"/>
            <w:vAlign w:val="center"/>
          </w:tcPr>
          <w:p w14:paraId="73B54DC1">
            <w:pPr>
              <w:spacing w:line="540" w:lineRule="exact"/>
              <w:jc w:val="center"/>
              <w:rPr>
                <w:rFonts w:hint="eastAsia"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条款内容</w:t>
            </w:r>
          </w:p>
        </w:tc>
        <w:tc>
          <w:tcPr>
            <w:tcW w:w="7296" w:type="dxa"/>
            <w:noWrap w:val="0"/>
            <w:vAlign w:val="center"/>
          </w:tcPr>
          <w:p w14:paraId="0E009663">
            <w:pPr>
              <w:spacing w:line="540" w:lineRule="exact"/>
              <w:jc w:val="center"/>
              <w:rPr>
                <w:rFonts w:hint="eastAsia" w:ascii="宋体" w:hAnsi="宋体" w:cs="宋体"/>
                <w:b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</w:rPr>
              <w:t>评</w:t>
            </w:r>
            <w:r>
              <w:rPr>
                <w:rFonts w:hint="eastAsia" w:ascii="宋体" w:hAnsi="宋体" w:cs="宋体"/>
                <w:b/>
                <w:color w:val="auto"/>
                <w:szCs w:val="21"/>
                <w:lang w:val="en-US" w:eastAsia="zh-CN"/>
              </w:rPr>
              <w:t>分</w:t>
            </w:r>
            <w:r>
              <w:rPr>
                <w:rFonts w:hint="eastAsia" w:ascii="宋体" w:hAnsi="宋体" w:cs="宋体"/>
                <w:b/>
                <w:color w:val="auto"/>
                <w:szCs w:val="21"/>
              </w:rPr>
              <w:t>标准</w:t>
            </w:r>
          </w:p>
        </w:tc>
      </w:tr>
      <w:tr w14:paraId="165C1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3" w:type="dxa"/>
            <w:noWrap w:val="0"/>
            <w:vAlign w:val="center"/>
          </w:tcPr>
          <w:p w14:paraId="2BD772D7">
            <w:pPr>
              <w:widowControl/>
              <w:spacing w:line="540" w:lineRule="exact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参选机构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实力及业绩</w:t>
            </w:r>
          </w:p>
          <w:p w14:paraId="3278933B">
            <w:pPr>
              <w:widowControl/>
              <w:spacing w:line="540" w:lineRule="exact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40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分）</w:t>
            </w:r>
          </w:p>
        </w:tc>
        <w:tc>
          <w:tcPr>
            <w:tcW w:w="7296" w:type="dxa"/>
            <w:noWrap w:val="0"/>
            <w:vAlign w:val="center"/>
          </w:tcPr>
          <w:p w14:paraId="5C23C193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（1）企业荣誉（2分）</w:t>
            </w:r>
          </w:p>
          <w:p w14:paraId="32A7038D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2022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年以来，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  <w:t>参选机构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获得招标代理行业相关的荣誉证书（以颁发时间为准），提供一个得1分，最多得2分(以颁发的表彰时间为准)，没有不得分。（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  <w:t>参选文件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中提供证书复印件加盖公章）</w:t>
            </w:r>
          </w:p>
          <w:p w14:paraId="1BED7584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（2）经营场所和办公条件（9分）</w:t>
            </w:r>
          </w:p>
          <w:p w14:paraId="67306F6F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szCs w:val="21"/>
              </w:rPr>
              <w:t>①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  <w:t>参选机构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在郑州市内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有固定经营场所，办公面积&lt;500平方米的得1分，500平方米≤办公面积&lt;1000平方米的得2分，办公面积≥1000平方米的得3分；（注：提供租房协议或房产证明复印件）</w:t>
            </w:r>
          </w:p>
          <w:p w14:paraId="6D66CBE7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②具有独立的开标大厅（应具有投影、电子监控、录音录像设备，并确保设备技术先进、可靠、配备齐全），视情况得1-2分，缺项者不得分。</w:t>
            </w:r>
          </w:p>
          <w:p w14:paraId="672974A4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③具有独立的评标室（应具有电子监控设备及电脑、打印机等设备），视情况得1-2分，缺项者不得分。</w:t>
            </w:r>
          </w:p>
          <w:p w14:paraId="5585253F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④具有独立的档案室（应具有有效的防火防灾等安全、消防设施），视情况得1-2分，缺项者不得分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eastAsia="zh-CN"/>
              </w:rPr>
              <w:t>。</w:t>
            </w:r>
          </w:p>
          <w:p w14:paraId="3376BA5C">
            <w:pPr>
              <w:pStyle w:val="10"/>
              <w:spacing w:line="540" w:lineRule="exact"/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注：对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auto"/>
                <w:sz w:val="21"/>
                <w:szCs w:val="21"/>
              </w:rPr>
              <w:t>经营场所和办公条件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napToGrid w:val="0"/>
                <w:color w:val="auto"/>
                <w:sz w:val="21"/>
                <w:szCs w:val="21"/>
                <w:lang w:val="en-US" w:eastAsia="zh-CN"/>
              </w:rPr>
              <w:t>遴选人认为存疑的，将开展现场核查。</w:t>
            </w:r>
          </w:p>
          <w:p w14:paraId="64197718">
            <w:pPr>
              <w:pStyle w:val="7"/>
              <w:numPr>
                <w:ilvl w:val="0"/>
                <w:numId w:val="1"/>
              </w:numPr>
              <w:spacing w:line="540" w:lineRule="exact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人员配置（5分）</w:t>
            </w:r>
          </w:p>
          <w:p w14:paraId="5FBAE48C">
            <w:pPr>
              <w:pStyle w:val="7"/>
              <w:numPr>
                <w:ilvl w:val="0"/>
                <w:numId w:val="0"/>
              </w:numPr>
              <w:spacing w:line="540" w:lineRule="exact"/>
              <w:rPr>
                <w:rFonts w:hint="eastAsia" w:hAnsi="Times New Roman"/>
                <w:snapToGrid/>
                <w:color w:val="auto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具有招标</w:t>
            </w:r>
            <w:r>
              <w:rPr>
                <w:rFonts w:hint="eastAsia" w:hAnsi="宋体" w:cs="宋体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人员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5人及以上得1分，5人以</w:t>
            </w:r>
            <w:r>
              <w:rPr>
                <w:rFonts w:hint="eastAsia"/>
                <w:color w:val="auto"/>
              </w:rPr>
              <w:t>下不计分；中级职称</w:t>
            </w:r>
            <w:r>
              <w:rPr>
                <w:color w:val="auto"/>
              </w:rPr>
              <w:t>10</w:t>
            </w:r>
            <w:r>
              <w:rPr>
                <w:rFonts w:hint="eastAsia"/>
                <w:color w:val="auto"/>
              </w:rPr>
              <w:t>人及以上得</w:t>
            </w:r>
            <w:r>
              <w:rPr>
                <w:color w:val="auto"/>
              </w:rPr>
              <w:t>2</w:t>
            </w:r>
            <w:r>
              <w:rPr>
                <w:rFonts w:hint="eastAsia"/>
                <w:color w:val="auto"/>
              </w:rPr>
              <w:t>分，0</w:t>
            </w:r>
            <w:r>
              <w:rPr>
                <w:color w:val="auto"/>
              </w:rPr>
              <w:t>-10</w:t>
            </w:r>
            <w:r>
              <w:rPr>
                <w:rFonts w:hint="eastAsia"/>
                <w:color w:val="auto"/>
              </w:rPr>
              <w:t>人得1分；高级职称</w:t>
            </w:r>
            <w:r>
              <w:rPr>
                <w:color w:val="auto"/>
              </w:rPr>
              <w:t>3</w:t>
            </w:r>
            <w:r>
              <w:rPr>
                <w:rFonts w:hint="eastAsia"/>
                <w:color w:val="auto"/>
              </w:rPr>
              <w:t>人及以上得2分，0</w:t>
            </w:r>
            <w:r>
              <w:rPr>
                <w:color w:val="auto"/>
              </w:rPr>
              <w:t>-3</w:t>
            </w:r>
            <w:r>
              <w:rPr>
                <w:rFonts w:hint="eastAsia"/>
                <w:color w:val="auto"/>
              </w:rPr>
              <w:t>人得1分。</w:t>
            </w:r>
          </w:p>
          <w:p w14:paraId="170CD974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（</w:t>
            </w:r>
            <w:r>
              <w:rPr>
                <w:rFonts w:hAnsi="宋体"/>
                <w:snapToGrid w:val="0"/>
                <w:color w:val="auto"/>
                <w:sz w:val="21"/>
                <w:szCs w:val="21"/>
              </w:rPr>
              <w:t>4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）企业业绩（24分）</w:t>
            </w:r>
          </w:p>
          <w:p w14:paraId="230B26DA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①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物资（货物）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类项目：</w:t>
            </w:r>
          </w:p>
          <w:p w14:paraId="20119C1A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提供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eastAsia="zh-CN"/>
              </w:rPr>
              <w:t>参选机构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自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2022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年1月1日以来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highlight w:val="none"/>
              </w:rPr>
              <w:t>400万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（含）以上的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物资（货物）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类招标采购代理项目合同（委托代理协议），并附项目招标公告、中标（成交）结果公告（示）网页截图，每有完整的一份得1分，最多得8分。</w:t>
            </w:r>
          </w:p>
          <w:p w14:paraId="3DB52364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②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社会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服务类项目：</w:t>
            </w:r>
          </w:p>
          <w:p w14:paraId="239B07C1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提供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eastAsia="zh-CN"/>
              </w:rPr>
              <w:t>参选机构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自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2022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年1月1日以来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highlight w:val="none"/>
              </w:rPr>
              <w:t>200万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（含）以上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社会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服务类招标采购代理项目合同（委托代理协议），并附项目招标公告、中标（成交）结果公告（示）网页截图，每有完整的一份得1分，最多得8分。</w:t>
            </w:r>
          </w:p>
          <w:p w14:paraId="0C242F8A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③建设工程类项目：</w:t>
            </w:r>
          </w:p>
          <w:p w14:paraId="3CD7B300">
            <w:pPr>
              <w:pStyle w:val="10"/>
              <w:spacing w:line="540" w:lineRule="exact"/>
              <w:rPr>
                <w:rFonts w:hint="eastAsia" w:hAnsi="宋体"/>
                <w:snapToGrid w:val="0"/>
                <w:color w:val="auto"/>
                <w:sz w:val="21"/>
                <w:szCs w:val="21"/>
              </w:rPr>
            </w:pP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提供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eastAsia="zh-CN"/>
              </w:rPr>
              <w:t>参选机构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自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2022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>年1月1日以来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highlight w:val="none"/>
              </w:rPr>
              <w:t>1000万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</w:rPr>
              <w:t xml:space="preserve">（含）以上建设工程类招标采购代理项目合同（委托代理协议），并附项目招标公告、中标（成交）结果公告（示）网页截图，每有完整的一份得1分，最多得8分。  </w:t>
            </w:r>
          </w:p>
        </w:tc>
      </w:tr>
      <w:tr w14:paraId="3720A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3" w:type="dxa"/>
            <w:shd w:val="clear" w:color="auto" w:fill="auto"/>
            <w:noWrap w:val="0"/>
            <w:vAlign w:val="center"/>
          </w:tcPr>
          <w:p w14:paraId="6A47D2D9">
            <w:pPr>
              <w:spacing w:line="540" w:lineRule="exact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服务报价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分）</w:t>
            </w:r>
          </w:p>
        </w:tc>
        <w:tc>
          <w:tcPr>
            <w:tcW w:w="7296" w:type="dxa"/>
            <w:shd w:val="clear" w:color="auto" w:fill="auto"/>
            <w:noWrap w:val="0"/>
            <w:vAlign w:val="center"/>
          </w:tcPr>
          <w:p w14:paraId="37F4791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napToGrid w:val="0"/>
              <w:spacing w:line="540" w:lineRule="exac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以《河南省招标代理服务收费指导意见》（豫招协[2023]002号）为基础，按照对该收费指导意见的折扣率进行报价，评审基准价=所有参选机构报价的算数平均值。</w:t>
            </w:r>
          </w:p>
          <w:p w14:paraId="070E3C75">
            <w:pPr>
              <w:spacing w:line="540" w:lineRule="exact"/>
              <w:jc w:val="left"/>
              <w:rPr>
                <w:rFonts w:hint="default" w:ascii="宋体" w:hAnsi="宋体" w:cs="宋体"/>
                <w:snapToGrid w:val="0"/>
                <w:color w:val="auto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报价得分计算：参选机构的有效报价与评审基准价相等者得10分；参选机构的有效报价与评审基准价相比，每上浮或下浮1%扣1分，扣完为止。不足1%的数值，分数保留小数点后两位。</w:t>
            </w:r>
          </w:p>
          <w:p w14:paraId="7B510CAC">
            <w:pPr>
              <w:spacing w:line="540" w:lineRule="exact"/>
              <w:jc w:val="left"/>
              <w:rPr>
                <w:rFonts w:hint="eastAsia" w:ascii="Calibri" w:hAnsi="Calibri" w:eastAsia="黑体" w:cs="Times New Roman"/>
                <w:b/>
                <w:sz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后续具体项目收费标准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由业主与代理机构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另行协商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确定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，但不得超过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该参选机构</w:t>
            </w:r>
            <w:r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本次报价标准。</w:t>
            </w:r>
          </w:p>
        </w:tc>
      </w:tr>
      <w:tr w14:paraId="73B04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33" w:type="dxa"/>
            <w:noWrap w:val="0"/>
            <w:vAlign w:val="center"/>
          </w:tcPr>
          <w:p w14:paraId="054D60E3">
            <w:pPr>
              <w:widowControl/>
              <w:spacing w:line="540" w:lineRule="exact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项目组人员配备（</w:t>
            </w:r>
            <w:r>
              <w:rPr>
                <w:rFonts w:ascii="宋体" w:hAnsi="宋体" w:cs="宋体"/>
                <w:color w:val="auto"/>
                <w:kern w:val="0"/>
                <w:szCs w:val="21"/>
              </w:rPr>
              <w:t>10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分）</w:t>
            </w:r>
          </w:p>
        </w:tc>
        <w:tc>
          <w:tcPr>
            <w:tcW w:w="7296" w:type="dxa"/>
            <w:noWrap w:val="0"/>
            <w:vAlign w:val="center"/>
          </w:tcPr>
          <w:p w14:paraId="2AAC8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540" w:lineRule="exac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项目负责人配置（0-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分）：项目负责人全日制本科学历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且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有5年及以上招标采购工作经验者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得2分，硕士研究生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学历有5年及以上招标采购工作经验者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得3分，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缺项不得分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具有高级工程师职称计1分，具有注册造价师资格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计1分。</w:t>
            </w:r>
          </w:p>
          <w:p w14:paraId="6ED0AB2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540" w:lineRule="exac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项目负责人业绩（0-3分）：提供项目负责人自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2022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年1月1日以来负责的400万（含）以上的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物资（货物）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类招标采购代理项目合同（委托代理协议），并附项目招标公告、中标结果公告（示）网页截图，得1分。</w:t>
            </w:r>
          </w:p>
          <w:p w14:paraId="46F0065F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提供项目负责人自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2022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年1月1日以来负责的1000万（含）以上建设工程类招标采购代理项目合同（委托代理协议），并附项目招标公告、中标结果公告（示）网页截图，得1分。</w:t>
            </w:r>
          </w:p>
          <w:p w14:paraId="4F60F724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提供项目负责人自</w:t>
            </w:r>
            <w:r>
              <w:rPr>
                <w:rFonts w:hint="eastAsia" w:hAnsi="宋体"/>
                <w:snapToGrid w:val="0"/>
                <w:color w:val="auto"/>
                <w:sz w:val="21"/>
                <w:szCs w:val="21"/>
                <w:lang w:val="en-US" w:eastAsia="zh-CN"/>
              </w:rPr>
              <w:t>2022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年1月1日以来负责的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  <w:highlight w:val="none"/>
              </w:rPr>
              <w:t>00万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（含）以上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社会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服务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类招标采购代理项目合同（委托代理协议），并附项目招标公告、中标结果公告（示）网页截图，得1分。</w:t>
            </w:r>
          </w:p>
          <w:p w14:paraId="627ABB41">
            <w:pPr>
              <w:autoSpaceDE w:val="0"/>
              <w:autoSpaceDN w:val="0"/>
              <w:adjustRightInd w:val="0"/>
              <w:snapToGrid w:val="0"/>
              <w:spacing w:line="540" w:lineRule="exact"/>
              <w:rPr>
                <w:rFonts w:hint="eastAsia" w:ascii="宋体" w:hAnsi="宋体" w:eastAsia="宋体" w:cs="宋体"/>
                <w:b/>
                <w:bCs/>
                <w:snapToGrid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注：项目负责人业绩与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eastAsia="zh-CN"/>
              </w:rPr>
              <w:t>参选机构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业绩不能重复计分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项目负责人业绩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eastAsia="zh-CN"/>
              </w:rPr>
              <w:t>需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在代理项目合同（委托代理协议）或招标公告中体现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eastAsia="zh-CN"/>
              </w:rPr>
              <w:t>项目负责人信息。</w:t>
            </w:r>
          </w:p>
          <w:p w14:paraId="7EAD05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napToGrid w:val="0"/>
              <w:spacing w:line="540" w:lineRule="exact"/>
              <w:ind w:left="0" w:leftChars="0" w:firstLine="0" w:firstLineChars="0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项目团队配置（0-2分）：团队不少于三人，均受过省级及以上政府采购管理部门组织的采购业务培训得基本分1分；多于三人，每多一人在基本分基础上加0.5分，最多加1分。缺项不得分（本项最高计2分。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  <w:t>）</w:t>
            </w:r>
          </w:p>
          <w:p w14:paraId="333D30F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napToGrid w:val="0"/>
              <w:spacing w:line="540" w:lineRule="exact"/>
              <w:ind w:leftChars="0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注：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项目团队成员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包括项目负责人、普通成员等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须为本单位正式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员工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，提供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全部成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员身份证、相关证书、劳动合同、社保等相关证明，否则不得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分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。</w:t>
            </w:r>
          </w:p>
        </w:tc>
      </w:tr>
      <w:tr w14:paraId="021B5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3" w:type="dxa"/>
            <w:vMerge w:val="restart"/>
            <w:noWrap w:val="0"/>
            <w:vAlign w:val="center"/>
          </w:tcPr>
          <w:p w14:paraId="6C882B1D">
            <w:pPr>
              <w:spacing w:line="540" w:lineRule="exact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招标代理方案及各项保证措施（3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分）</w:t>
            </w:r>
          </w:p>
        </w:tc>
        <w:tc>
          <w:tcPr>
            <w:tcW w:w="7296" w:type="dxa"/>
            <w:noWrap w:val="0"/>
            <w:vAlign w:val="center"/>
          </w:tcPr>
          <w:p w14:paraId="6DF07A09">
            <w:pPr>
              <w:spacing w:line="540" w:lineRule="exact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1.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  <w:t>参选机构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设置合理、分工明确、各个环节均设置有相应的机构和健全的质量控制及管理制度；（0-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分）</w:t>
            </w:r>
          </w:p>
        </w:tc>
      </w:tr>
      <w:tr w14:paraId="556D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133" w:type="dxa"/>
            <w:vMerge w:val="continue"/>
            <w:noWrap w:val="0"/>
            <w:vAlign w:val="center"/>
          </w:tcPr>
          <w:p w14:paraId="05363298">
            <w:pPr>
              <w:spacing w:line="540" w:lineRule="exact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7296" w:type="dxa"/>
            <w:noWrap w:val="0"/>
            <w:vAlign w:val="center"/>
          </w:tcPr>
          <w:p w14:paraId="380C52CF">
            <w:pPr>
              <w:spacing w:line="540" w:lineRule="exact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2.根据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国有企业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招标的特点，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结合遴选人以往公开招标情况，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编制详细的工作流程，阐述招标代理各阶段的工作内容、工作重点、工作方法和工作流程；（0-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8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分）</w:t>
            </w:r>
          </w:p>
        </w:tc>
      </w:tr>
      <w:tr w14:paraId="4B03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33" w:type="dxa"/>
            <w:vMerge w:val="continue"/>
            <w:noWrap w:val="0"/>
            <w:vAlign w:val="center"/>
          </w:tcPr>
          <w:p w14:paraId="6E6FFE36">
            <w:pPr>
              <w:spacing w:line="540" w:lineRule="exact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7296" w:type="dxa"/>
            <w:noWrap w:val="0"/>
            <w:vAlign w:val="center"/>
          </w:tcPr>
          <w:p w14:paraId="7F0DB4DA">
            <w:pPr>
              <w:spacing w:line="540" w:lineRule="exact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3.人员组织保障措施、质量保证措施、内部审核机制、进度保证措施、保密措施等；（0-</w:t>
            </w:r>
            <w:r>
              <w:rPr>
                <w:rFonts w:ascii="宋体" w:hAnsi="宋体" w:cs="宋体"/>
                <w:snapToGrid w:val="0"/>
                <w:color w:val="auto"/>
                <w:kern w:val="0"/>
                <w:szCs w:val="21"/>
              </w:rPr>
              <w:t>8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分）</w:t>
            </w:r>
          </w:p>
        </w:tc>
      </w:tr>
      <w:tr w14:paraId="037F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33" w:type="dxa"/>
            <w:vMerge w:val="continue"/>
            <w:noWrap w:val="0"/>
            <w:vAlign w:val="center"/>
          </w:tcPr>
          <w:p w14:paraId="58D78F14">
            <w:pPr>
              <w:spacing w:line="540" w:lineRule="exact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7296" w:type="dxa"/>
            <w:noWrap w:val="0"/>
            <w:vAlign w:val="center"/>
          </w:tcPr>
          <w:p w14:paraId="29D8B5FF">
            <w:pPr>
              <w:spacing w:line="540" w:lineRule="exact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4.减少代理过程质量事故、避免质疑和投诉的措施及针对质疑、投诉等异常情况的处理措施；（0-7分）</w:t>
            </w:r>
          </w:p>
        </w:tc>
      </w:tr>
      <w:tr w14:paraId="4532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133" w:type="dxa"/>
            <w:vMerge w:val="continue"/>
            <w:noWrap w:val="0"/>
            <w:vAlign w:val="center"/>
          </w:tcPr>
          <w:p w14:paraId="281CD3FD">
            <w:pPr>
              <w:spacing w:line="540" w:lineRule="exact"/>
              <w:jc w:val="center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</w:p>
        </w:tc>
        <w:tc>
          <w:tcPr>
            <w:tcW w:w="7296" w:type="dxa"/>
            <w:noWrap w:val="0"/>
            <w:vAlign w:val="center"/>
          </w:tcPr>
          <w:p w14:paraId="3A0F17CA">
            <w:pPr>
              <w:spacing w:line="540" w:lineRule="exact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5.招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Cs w:val="21"/>
              </w:rPr>
              <w:t>投标过程中预防串标、围标保证措施及风险防控及响应预案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Cs w:val="21"/>
              </w:rPr>
              <w:t>（0-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napToGrid w:val="0"/>
                <w:color w:val="auto"/>
                <w:kern w:val="0"/>
                <w:szCs w:val="21"/>
              </w:rPr>
              <w:t>分）</w:t>
            </w:r>
          </w:p>
        </w:tc>
      </w:tr>
      <w:tr w14:paraId="1821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" w:hRule="atLeast"/>
          <w:jc w:val="center"/>
        </w:trPr>
        <w:tc>
          <w:tcPr>
            <w:tcW w:w="1133" w:type="dxa"/>
            <w:noWrap w:val="0"/>
            <w:vAlign w:val="center"/>
          </w:tcPr>
          <w:p w14:paraId="154E1249">
            <w:pPr>
              <w:spacing w:line="540" w:lineRule="exact"/>
              <w:jc w:val="center"/>
              <w:rPr>
                <w:rFonts w:hint="default" w:ascii="宋体" w:hAnsi="宋体" w:eastAsia="宋体" w:cs="宋体"/>
                <w:snapToGrid w:val="0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增值服务承诺（5分）</w:t>
            </w:r>
          </w:p>
        </w:tc>
        <w:tc>
          <w:tcPr>
            <w:tcW w:w="7296" w:type="dxa"/>
            <w:noWrap w:val="0"/>
            <w:vAlign w:val="center"/>
          </w:tcPr>
          <w:p w14:paraId="1B775CB9">
            <w:pPr>
              <w:spacing w:line="540" w:lineRule="exact"/>
              <w:jc w:val="left"/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承诺为遴选人提供增值服务，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在服务期内提供对遴选人有实质性的、有利的专业服务或增值服务，包括但不限于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采购的专业培训讲座、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招标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采购法律讲座等。由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  <w:t>评审小组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认定，增值服务有利于遴选人工作实施且切实可行的，每有一项得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分，最高得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</w:rPr>
              <w:t>分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  <w:t>；（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val="en-US" w:eastAsia="zh-CN"/>
              </w:rPr>
              <w:t>-5分</w:t>
            </w:r>
            <w:r>
              <w:rPr>
                <w:rFonts w:hint="eastAsia" w:ascii="宋体" w:hAnsi="宋体" w:cs="宋体"/>
                <w:snapToGrid w:val="0"/>
                <w:color w:val="auto"/>
                <w:kern w:val="0"/>
                <w:szCs w:val="21"/>
                <w:lang w:eastAsia="zh-CN"/>
              </w:rPr>
              <w:t>）</w:t>
            </w:r>
          </w:p>
          <w:p w14:paraId="7E1A6CF7">
            <w:pPr>
              <w:spacing w:line="540" w:lineRule="exac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注：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若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参选机构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通过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遴选后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未按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承诺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履行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增值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服务义务，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遴选人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有权单方面终止合作并取消其入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  <w:lang w:val="en-US" w:eastAsia="zh-CN"/>
              </w:rPr>
              <w:t>库</w:t>
            </w:r>
            <w:r>
              <w:rPr>
                <w:rFonts w:hint="eastAsia" w:ascii="宋体" w:hAnsi="宋体" w:cs="宋体"/>
                <w:b/>
                <w:bCs/>
                <w:snapToGrid w:val="0"/>
                <w:color w:val="auto"/>
                <w:kern w:val="0"/>
                <w:szCs w:val="21"/>
              </w:rPr>
              <w:t>资格。</w:t>
            </w:r>
          </w:p>
        </w:tc>
      </w:tr>
    </w:tbl>
    <w:p w14:paraId="77D148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92A2CA"/>
    <w:multiLevelType w:val="singleLevel"/>
    <w:tmpl w:val="4C92A2CA"/>
    <w:lvl w:ilvl="0" w:tentative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7D5DF230"/>
    <w:multiLevelType w:val="singleLevel"/>
    <w:tmpl w:val="7D5DF23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37790C"/>
    <w:rsid w:val="019079BA"/>
    <w:rsid w:val="023F3511"/>
    <w:rsid w:val="11B95775"/>
    <w:rsid w:val="1DEE0F29"/>
    <w:rsid w:val="1DF77D4A"/>
    <w:rsid w:val="1E80732D"/>
    <w:rsid w:val="278211A1"/>
    <w:rsid w:val="28500425"/>
    <w:rsid w:val="2B243870"/>
    <w:rsid w:val="31FD2B4F"/>
    <w:rsid w:val="35011425"/>
    <w:rsid w:val="3F2D7907"/>
    <w:rsid w:val="43E07542"/>
    <w:rsid w:val="46B43B41"/>
    <w:rsid w:val="4A004D73"/>
    <w:rsid w:val="4A287644"/>
    <w:rsid w:val="4DB057D1"/>
    <w:rsid w:val="5637790C"/>
    <w:rsid w:val="57BF0321"/>
    <w:rsid w:val="5939706E"/>
    <w:rsid w:val="5EF15C89"/>
    <w:rsid w:val="60974310"/>
    <w:rsid w:val="6535464F"/>
    <w:rsid w:val="6FB40B11"/>
    <w:rsid w:val="768F268A"/>
    <w:rsid w:val="7A94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next w:val="4"/>
    <w:qFormat/>
    <w:uiPriority w:val="0"/>
    <w:pPr>
      <w:spacing w:after="120" w:line="480" w:lineRule="auto"/>
    </w:pPr>
  </w:style>
  <w:style w:type="paragraph" w:customStyle="1" w:styleId="4">
    <w:name w:val="标书正文居左"/>
    <w:next w:val="5"/>
    <w:qFormat/>
    <w:uiPriority w:val="0"/>
    <w:pPr>
      <w:widowControl w:val="0"/>
      <w:spacing w:before="50" w:line="480" w:lineRule="exact"/>
      <w:jc w:val="both"/>
    </w:pPr>
    <w:rPr>
      <w:rFonts w:ascii="Calibri" w:hAnsi="Calibri" w:eastAsia="黑体" w:cs="Times New Roman"/>
      <w:b/>
      <w:sz w:val="28"/>
      <w:lang w:val="en-US" w:eastAsia="zh-CN" w:bidi="ar-SA"/>
    </w:rPr>
  </w:style>
  <w:style w:type="paragraph" w:customStyle="1" w:styleId="5">
    <w:name w:val="xl63"/>
    <w:basedOn w:val="1"/>
    <w:next w:val="6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6">
    <w:name w:val="xl64"/>
    <w:basedOn w:val="1"/>
    <w:next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styleId="7">
    <w:name w:val="Plain Text"/>
    <w:basedOn w:val="1"/>
    <w:next w:val="2"/>
    <w:qFormat/>
    <w:uiPriority w:val="0"/>
    <w:rPr>
      <w:rFonts w:ascii="宋体" w:hAnsi="Courier New" w:cs="Courier New"/>
      <w:szCs w:val="21"/>
    </w:rPr>
  </w:style>
  <w:style w:type="paragraph" w:customStyle="1" w:styleId="10">
    <w:name w:val="Default"/>
    <w:basedOn w:val="7"/>
    <w:next w:val="7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1984</Words>
  <Characters>2084</Characters>
  <Lines>0</Lines>
  <Paragraphs>0</Paragraphs>
  <TotalTime>13</TotalTime>
  <ScaleCrop>false</ScaleCrop>
  <LinksUpToDate>false</LinksUpToDate>
  <CharactersWithSpaces>2086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2025-05-23T01:59:00Z</dcterms:created>
  <dc:creator>李梓豪</dc:creator>
  <cp:lastModifiedBy>吴清森</cp:lastModifiedBy>
  <dcterms:modified xsi:type="dcterms:W3CDTF">2025-06-05T09:03:34Z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DBA89B102326457EB21BD3729EAAF835_11</vt:lpwstr>
  </property>
  <property fmtid="{D5CDD505-2E9C-101B-9397-08002B2CF9AE}" pid="4" name="KSOTemplateDocerSaveRecord">
    <vt:lpwstr>eyJoZGlkIjoiYjk5ODM0YmMxOWJiYWQyNDU4MGIzYWRmYTA0ZmI5NDciLCJ1c2VySWQiOiIxNjM3MzYxODA3In0=</vt:lpwstr>
  </property>
</Properties>
</file>